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F1" w:rsidRPr="00EC5956" w:rsidRDefault="00EC5956" w:rsidP="00EC5956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EC5956">
        <w:rPr>
          <w:rFonts w:cstheme="minorHAnsi"/>
          <w:b/>
          <w:bCs/>
          <w:sz w:val="28"/>
          <w:szCs w:val="28"/>
        </w:rPr>
        <w:t>Antineoplastic Agents 2</w:t>
      </w:r>
      <w:r w:rsidR="004B3AB3">
        <w:rPr>
          <w:rFonts w:cstheme="minorHAnsi"/>
          <w:b/>
          <w:bCs/>
          <w:sz w:val="28"/>
          <w:szCs w:val="28"/>
        </w:rPr>
        <w:t xml:space="preserve"> Summary</w:t>
      </w:r>
      <w:bookmarkStart w:id="0" w:name="_GoBack"/>
      <w:bookmarkEnd w:id="0"/>
    </w:p>
    <w:p w:rsidR="00EC5956" w:rsidRPr="00EC5956" w:rsidRDefault="00EC5956" w:rsidP="00EC5956">
      <w:pPr>
        <w:spacing w:after="0" w:line="360" w:lineRule="auto"/>
        <w:jc w:val="both"/>
        <w:rPr>
          <w:rFonts w:eastAsia="Times New Roman" w:cstheme="minorHAnsi"/>
          <w:b/>
          <w:bCs/>
          <w:sz w:val="28"/>
          <w:szCs w:val="28"/>
        </w:rPr>
      </w:pPr>
      <w:r w:rsidRPr="00EC5956">
        <w:rPr>
          <w:rFonts w:eastAsia="Times New Roman" w:cstheme="minorHAnsi"/>
          <w:b/>
          <w:bCs/>
          <w:sz w:val="28"/>
          <w:szCs w:val="28"/>
        </w:rPr>
        <w:t xml:space="preserve">TARGETED ANTICANCER THERAPIES </w:t>
      </w:r>
    </w:p>
    <w:p w:rsidR="00EC5956" w:rsidRPr="00EC5956" w:rsidRDefault="00EC5956" w:rsidP="00EC5956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EC5956">
        <w:rPr>
          <w:rFonts w:eastAsia="Times New Roman" w:cstheme="minorHAnsi"/>
          <w:sz w:val="28"/>
          <w:szCs w:val="28"/>
        </w:rPr>
        <w:t xml:space="preserve">Unlike cytotoxic drugs targeted anticancer drugs are SPECIFICALLY DESIGNED to target specific molecules present on cancer cells </w:t>
      </w:r>
    </w:p>
    <w:p w:rsidR="00EC5956" w:rsidRPr="00EC5956" w:rsidRDefault="00EC5956" w:rsidP="00EC5956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EC5956">
        <w:rPr>
          <w:rFonts w:eastAsia="Times New Roman" w:cstheme="minorHAnsi"/>
          <w:sz w:val="28"/>
          <w:szCs w:val="28"/>
        </w:rPr>
        <w:t xml:space="preserve">Divided into: a. Monoclonal antibodies b. Small molecule inhibitors. </w:t>
      </w:r>
    </w:p>
    <w:p w:rsidR="00EC5956" w:rsidRPr="00EC5956" w:rsidRDefault="00EC5956" w:rsidP="00EC5956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EC5956">
        <w:rPr>
          <w:rFonts w:eastAsia="Times New Roman" w:cstheme="minorHAnsi"/>
          <w:sz w:val="28"/>
          <w:szCs w:val="28"/>
        </w:rPr>
        <w:t xml:space="preserve">MONOCLONAL ANTIBODIES </w:t>
      </w:r>
    </w:p>
    <w:p w:rsidR="00EC5956" w:rsidRDefault="00EC5956" w:rsidP="00EC5956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EC5956">
        <w:rPr>
          <w:rFonts w:eastAsia="Times New Roman" w:cstheme="minorHAnsi"/>
          <w:sz w:val="28"/>
          <w:szCs w:val="28"/>
        </w:rPr>
        <w:t>TRASTUZUMAB: - Monoclonal antibody, directed against HER-2(Herceptin-2) receptor - Useful for the treatment of breast cancer - Dose-limiting toxicity: Cardiotoxicity - Also approved for treatment of stomach cancer/ that of gastroesophageal junction • RITUXIMAB: - Useful for NHL - Other uses include: a. RA b. SLE c. ITP d. CLL e. Autoimmune hemolytic anemia.</w:t>
      </w:r>
    </w:p>
    <w:p w:rsidR="00EC5956" w:rsidRPr="00EC5956" w:rsidRDefault="00EC5956" w:rsidP="00EC5956">
      <w:pPr>
        <w:spacing w:after="0" w:line="360" w:lineRule="auto"/>
        <w:rPr>
          <w:rFonts w:eastAsia="Times New Roman" w:cstheme="minorHAnsi"/>
          <w:b/>
          <w:bCs/>
          <w:sz w:val="28"/>
          <w:szCs w:val="28"/>
        </w:rPr>
      </w:pPr>
      <w:r w:rsidRPr="00EC5956">
        <w:rPr>
          <w:rFonts w:eastAsia="Times New Roman" w:cstheme="minorHAnsi"/>
          <w:b/>
          <w:bCs/>
          <w:sz w:val="28"/>
          <w:szCs w:val="28"/>
        </w:rPr>
        <w:t xml:space="preserve">SMALL MOLECULE INHIBITORS </w:t>
      </w:r>
    </w:p>
    <w:p w:rsidR="00EC5956" w:rsidRPr="00EC5956" w:rsidRDefault="00EC5956" w:rsidP="00EC5956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EC5956">
        <w:rPr>
          <w:rFonts w:eastAsia="Times New Roman" w:cstheme="minorHAnsi"/>
          <w:sz w:val="28"/>
          <w:szCs w:val="28"/>
        </w:rPr>
        <w:t xml:space="preserve">Usually act by inhibiting enzymes like TYROSINE KINASE, PI3 kinase, MTOR, etc. </w:t>
      </w:r>
    </w:p>
    <w:p w:rsidR="00EC5956" w:rsidRPr="00EC5956" w:rsidRDefault="00EC5956" w:rsidP="00EC5956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EC5956">
        <w:rPr>
          <w:rFonts w:eastAsia="Times New Roman" w:cstheme="minorHAnsi"/>
          <w:sz w:val="28"/>
          <w:szCs w:val="28"/>
        </w:rPr>
        <w:t xml:space="preserve">Differ from monoclonal antibodies in that “the latter is smaller in size”. </w:t>
      </w:r>
    </w:p>
    <w:p w:rsidR="00EC5956" w:rsidRPr="00EC5956" w:rsidRDefault="00EC5956" w:rsidP="00EC5956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EC5956">
        <w:rPr>
          <w:rFonts w:eastAsia="Times New Roman" w:cstheme="minorHAnsi"/>
          <w:sz w:val="28"/>
          <w:szCs w:val="28"/>
        </w:rPr>
        <w:t xml:space="preserve"> Include: a. TYROSINE KINASE INHIBITORS k. BCL-2 INHIBITORS b. PROTEASOME INHIBITORS l. IDH2- INHIBITORS. c. HISTONE DEACETYLASE INHIBITORS d. MTOR INHIBITORS e. PARP INHIBITORS f. CDK INHIBITORS g. PI3 KINASE INHIBITORS h. APOPTOSIS INHIBITORS i. PROTEIN SYNTHESIS INHIBITORS j. HEDGEHOG PATHWAY INHIBITORS </w:t>
      </w:r>
    </w:p>
    <w:p w:rsidR="00EC5956" w:rsidRPr="00EC5956" w:rsidRDefault="00EC5956" w:rsidP="00EC5956">
      <w:pPr>
        <w:spacing w:after="0" w:line="360" w:lineRule="auto"/>
        <w:rPr>
          <w:rFonts w:eastAsia="Times New Roman" w:cstheme="minorHAnsi"/>
          <w:sz w:val="28"/>
          <w:szCs w:val="28"/>
        </w:rPr>
      </w:pPr>
    </w:p>
    <w:p w:rsidR="00EC5956" w:rsidRPr="00EC5956" w:rsidRDefault="00EC5956" w:rsidP="00EC5956">
      <w:pPr>
        <w:pStyle w:val="ListParagraph"/>
        <w:numPr>
          <w:ilvl w:val="0"/>
          <w:numId w:val="4"/>
        </w:num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EC5956">
        <w:rPr>
          <w:rFonts w:eastAsia="Times New Roman" w:cstheme="minorHAnsi"/>
          <w:sz w:val="28"/>
          <w:szCs w:val="28"/>
        </w:rPr>
        <w:t>TYROSINE KINASE INHIBITORS: - Since all tyrosine kinase inhibitors are metabolized by CYP3A4 enzymes they have the POTENTIAL to CAUSE DRUG INTERACTIONS! - Usually administered ORALLY</w:t>
      </w:r>
    </w:p>
    <w:p w:rsidR="00EC5956" w:rsidRPr="00EC5956" w:rsidRDefault="00EC5956" w:rsidP="00EC5956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EC5956">
        <w:rPr>
          <w:rFonts w:eastAsia="Times New Roman" w:cstheme="minorHAnsi"/>
          <w:sz w:val="28"/>
          <w:szCs w:val="28"/>
        </w:rPr>
        <w:t xml:space="preserve">IMATINIB: a. Used for chronic phase of CML </w:t>
      </w:r>
    </w:p>
    <w:p w:rsidR="00EC5956" w:rsidRPr="00EC5956" w:rsidRDefault="00EC5956" w:rsidP="00EC5956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EC5956">
        <w:rPr>
          <w:rFonts w:eastAsia="Times New Roman" w:cstheme="minorHAnsi"/>
          <w:sz w:val="28"/>
          <w:szCs w:val="28"/>
        </w:rPr>
        <w:lastRenderedPageBreak/>
        <w:t xml:space="preserve">b. Drug inhibits tyrosine kinase, activated by abl-bcr fusion (also known as “Philadelphia chromosome”) </w:t>
      </w:r>
    </w:p>
    <w:p w:rsidR="00EC5956" w:rsidRDefault="00EC5956" w:rsidP="00EC5956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EC5956">
        <w:rPr>
          <w:rFonts w:eastAsia="Times New Roman" w:cstheme="minorHAnsi"/>
          <w:sz w:val="28"/>
          <w:szCs w:val="28"/>
        </w:rPr>
        <w:t>c. DOC for CML &amp;GIST(Gastro-intestinal stromal tumor) - DASATINIB&amp; NILOTINIB  used in case of IMATINIB RESISTANCE</w:t>
      </w:r>
    </w:p>
    <w:p w:rsidR="00EC5956" w:rsidRPr="00EC5956" w:rsidRDefault="00EC5956" w:rsidP="00EC5956">
      <w:pPr>
        <w:spacing w:after="0" w:line="360" w:lineRule="auto"/>
        <w:jc w:val="both"/>
        <w:rPr>
          <w:rFonts w:eastAsia="Times New Roman" w:cstheme="minorHAnsi"/>
          <w:b/>
          <w:bCs/>
          <w:sz w:val="28"/>
          <w:szCs w:val="28"/>
        </w:rPr>
      </w:pPr>
      <w:r w:rsidRPr="00EC5956">
        <w:rPr>
          <w:rFonts w:eastAsia="Times New Roman" w:cstheme="minorHAnsi"/>
          <w:b/>
          <w:bCs/>
          <w:sz w:val="28"/>
          <w:szCs w:val="28"/>
        </w:rPr>
        <w:t xml:space="preserve">HORMONES &amp; RELATED DRUGS </w:t>
      </w:r>
    </w:p>
    <w:p w:rsidR="00EC5956" w:rsidRDefault="00EC5956" w:rsidP="00EC5956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EC5956">
        <w:rPr>
          <w:rFonts w:eastAsia="Times New Roman" w:cstheme="minorHAnsi"/>
          <w:sz w:val="28"/>
          <w:szCs w:val="28"/>
        </w:rPr>
        <w:t xml:space="preserve">Include: A. GLUCOCORTICOIDS: Prednisolone, prednisone </w:t>
      </w:r>
    </w:p>
    <w:p w:rsidR="00EC5956" w:rsidRDefault="00EC5956" w:rsidP="00EC5956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EC5956">
        <w:rPr>
          <w:rFonts w:eastAsia="Times New Roman" w:cstheme="minorHAnsi"/>
          <w:sz w:val="28"/>
          <w:szCs w:val="28"/>
        </w:rPr>
        <w:t xml:space="preserve">B. ESTROGENS: Diethylstilbesterol, ethinyl estradiol </w:t>
      </w:r>
    </w:p>
    <w:p w:rsidR="00EC5956" w:rsidRDefault="00EC5956" w:rsidP="00EC5956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EC5956">
        <w:rPr>
          <w:rFonts w:eastAsia="Times New Roman" w:cstheme="minorHAnsi"/>
          <w:sz w:val="28"/>
          <w:szCs w:val="28"/>
        </w:rPr>
        <w:t xml:space="preserve">C. PROGESTINS: Medroxyprogesterone acetate, hydroxyprogesterone caproate &amp; megestrol </w:t>
      </w:r>
    </w:p>
    <w:p w:rsidR="00EC5956" w:rsidRDefault="00EC5956" w:rsidP="00EC5956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EC5956">
        <w:rPr>
          <w:rFonts w:eastAsia="Times New Roman" w:cstheme="minorHAnsi"/>
          <w:sz w:val="28"/>
          <w:szCs w:val="28"/>
        </w:rPr>
        <w:t xml:space="preserve">D. ANTIANDROGENS: Flutamide, enzalutamide &amp; bicalutamide E. GnRH AGONISTS: Goserelin, nafarelin, leuprolide acetate </w:t>
      </w:r>
    </w:p>
    <w:p w:rsidR="00EC5956" w:rsidRDefault="00EC5956" w:rsidP="00EC5956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EC5956">
        <w:rPr>
          <w:rFonts w:eastAsia="Times New Roman" w:cstheme="minorHAnsi"/>
          <w:sz w:val="28"/>
          <w:szCs w:val="28"/>
        </w:rPr>
        <w:t xml:space="preserve">F. GnRH ANTAGONISTS: Cetrorelix, ganirelix, degarelix &amp; abarelix </w:t>
      </w:r>
    </w:p>
    <w:p w:rsidR="00EC5956" w:rsidRDefault="00EC5956" w:rsidP="00EC5956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EC5956">
        <w:rPr>
          <w:rFonts w:eastAsia="Times New Roman" w:cstheme="minorHAnsi"/>
          <w:sz w:val="28"/>
          <w:szCs w:val="28"/>
        </w:rPr>
        <w:t>G. ANTIESTROGENS: i. SERM : Tamoxifen, doloxifen, toremifene ii. SERD : Fulvestrant iii. AROMATASE INHIBITORS: Aminoglutethimide, formestane, exemestane, anastrozole, vorozole, letrozole</w:t>
      </w:r>
    </w:p>
    <w:p w:rsidR="00EC5956" w:rsidRPr="00B34CE5" w:rsidRDefault="00EC5956" w:rsidP="00B34CE5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theme="minorHAnsi"/>
          <w:b/>
          <w:bCs/>
          <w:sz w:val="28"/>
          <w:szCs w:val="28"/>
        </w:rPr>
      </w:pPr>
      <w:r w:rsidRPr="00B34CE5">
        <w:rPr>
          <w:rFonts w:eastAsia="Times New Roman" w:cstheme="minorHAnsi"/>
          <w:b/>
          <w:bCs/>
          <w:sz w:val="28"/>
          <w:szCs w:val="28"/>
        </w:rPr>
        <w:t xml:space="preserve">ADJUVANT &amp; NEO- ADJUVANT CHEMOTHERAPIES </w:t>
      </w:r>
    </w:p>
    <w:p w:rsidR="00B34CE5" w:rsidRDefault="00EC5956" w:rsidP="00B34CE5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B34CE5">
        <w:rPr>
          <w:rFonts w:eastAsia="Times New Roman" w:cstheme="minorHAnsi"/>
          <w:sz w:val="28"/>
          <w:szCs w:val="28"/>
        </w:rPr>
        <w:t xml:space="preserve">In ADJUVANT CHEMOTHERAPY chemo is given AFTER SURGERY/ RADIOTHERAPY </w:t>
      </w:r>
    </w:p>
    <w:p w:rsidR="00B34CE5" w:rsidRDefault="00EC5956" w:rsidP="00B34CE5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B34CE5">
        <w:rPr>
          <w:rFonts w:eastAsia="Times New Roman" w:cstheme="minorHAnsi"/>
          <w:sz w:val="28"/>
          <w:szCs w:val="28"/>
        </w:rPr>
        <w:t xml:space="preserve">In NEOADJUVANT CHEMOTHERAPY chemo is given BEFORE SURGERY/RADIOTHERAPY </w:t>
      </w:r>
    </w:p>
    <w:p w:rsidR="00EC5956" w:rsidRPr="00B34CE5" w:rsidRDefault="00EC5956" w:rsidP="00B34CE5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B34CE5">
        <w:rPr>
          <w:rFonts w:eastAsia="Times New Roman" w:cstheme="minorHAnsi"/>
          <w:sz w:val="28"/>
          <w:szCs w:val="28"/>
        </w:rPr>
        <w:t>Neoadjuvant chemotherapy is used for cancers of: 1. Bladder 2. Breast 3. Colorectal 4. Esophagus 5. Stomach 6. NSCLC.</w:t>
      </w:r>
    </w:p>
    <w:sectPr w:rsidR="00EC5956" w:rsidRPr="00B34CE5" w:rsidSect="00687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C4EA1"/>
    <w:multiLevelType w:val="hybridMultilevel"/>
    <w:tmpl w:val="10781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8116F"/>
    <w:multiLevelType w:val="hybridMultilevel"/>
    <w:tmpl w:val="004CB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01C8A"/>
    <w:multiLevelType w:val="hybridMultilevel"/>
    <w:tmpl w:val="4258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8622E"/>
    <w:multiLevelType w:val="hybridMultilevel"/>
    <w:tmpl w:val="FE3E37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70D43"/>
    <w:multiLevelType w:val="hybridMultilevel"/>
    <w:tmpl w:val="D9A89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313EF"/>
    <w:multiLevelType w:val="hybridMultilevel"/>
    <w:tmpl w:val="D5FA5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sjQwsjA3NjUyMjY1MzBX0lEKTi0uzszPAykwqgUAZmNPEywAAAA="/>
  </w:docVars>
  <w:rsids>
    <w:rsidRoot w:val="00687F26"/>
    <w:rsid w:val="000E1E26"/>
    <w:rsid w:val="00271FA0"/>
    <w:rsid w:val="004B3AB3"/>
    <w:rsid w:val="00687F26"/>
    <w:rsid w:val="007A2AF1"/>
    <w:rsid w:val="00997996"/>
    <w:rsid w:val="00B34CE5"/>
    <w:rsid w:val="00B63ED1"/>
    <w:rsid w:val="00C53EAF"/>
    <w:rsid w:val="00CB0437"/>
    <w:rsid w:val="00D91D6C"/>
    <w:rsid w:val="00EC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Rajpushpa Labh</dc:creator>
  <cp:keywords/>
  <dc:description/>
  <cp:lastModifiedBy>seemajain</cp:lastModifiedBy>
  <cp:revision>2</cp:revision>
  <dcterms:created xsi:type="dcterms:W3CDTF">2020-03-19T03:54:00Z</dcterms:created>
  <dcterms:modified xsi:type="dcterms:W3CDTF">2020-03-19T03:54:00Z</dcterms:modified>
</cp:coreProperties>
</file>